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0F" w:rsidRDefault="00860E0F" w:rsidP="00860E0F">
      <w:pPr>
        <w:ind w:left="75" w:firstLine="15"/>
        <w:rPr>
          <w:rFonts w:ascii="Arial" w:hAnsi="Arial"/>
          <w:sz w:val="14"/>
          <w:szCs w:val="14"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 </w:t>
      </w:r>
      <w:r w:rsidR="00C6531F">
        <w:rPr>
          <w:rFonts w:ascii="Arial" w:hAnsi="Arial"/>
          <w:sz w:val="14"/>
          <w:szCs w:val="14"/>
        </w:rPr>
        <w:t>Załącznik Nr 2</w:t>
      </w:r>
      <w:r>
        <w:rPr>
          <w:rFonts w:ascii="Arial" w:hAnsi="Arial"/>
          <w:sz w:val="14"/>
          <w:szCs w:val="14"/>
        </w:rPr>
        <w:t xml:space="preserve">  do Uchwały Nr  XIII/96/15</w:t>
      </w:r>
    </w:p>
    <w:p w:rsidR="00860E0F" w:rsidRDefault="00860E0F" w:rsidP="00860E0F">
      <w:pPr>
        <w:ind w:left="75" w:right="-15" w:firstLine="15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Rady Gminy w Będzinie </w:t>
      </w:r>
    </w:p>
    <w:p w:rsidR="00D159F8" w:rsidRDefault="00860E0F" w:rsidP="00860E0F">
      <w:pPr>
        <w:pStyle w:val="Standard"/>
        <w:rPr>
          <w:rFonts w:hint="eastAsia"/>
          <w:sz w:val="16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z dnia 27 listopada 2015r.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snapToGrid w:val="0"/>
              <w:ind w:left="180"/>
              <w:rPr>
                <w:rFonts w:hint="eastAsia"/>
              </w:rPr>
            </w:pPr>
            <w:r>
              <w:rPr>
                <w:sz w:val="16"/>
              </w:rPr>
              <w:t xml:space="preserve">   </w:t>
            </w:r>
            <w:r w:rsidR="00CB6EDE">
              <w:rPr>
                <w:rFonts w:hint="eastAsia"/>
                <w:sz w:val="16"/>
              </w:rPr>
            </w:r>
            <w:r w:rsidR="00CA2029">
              <w:rPr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1" o:spid="_x0000_s1027" type="#_x0000_t202" style="width:527.6pt;height:1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stroked="f">
                  <v:textbox style="mso-rotate-with-shape:t" inset="0,0,0,0">
                    <w:txbxContent>
                      <w:tbl>
                        <w:tblPr>
                          <w:tblW w:w="10530" w:type="dxa"/>
                          <w:tblInd w:w="60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10"/>
                          <w:gridCol w:w="2230"/>
                          <w:gridCol w:w="3690"/>
                        </w:tblGrid>
                        <w:tr w:rsidR="00D159F8">
                          <w:tc>
                            <w:tcPr>
                              <w:tcW w:w="46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tabs>
                                  <w:tab w:val="left" w:pos="1215"/>
                                  <w:tab w:val="left" w:pos="2270"/>
                                </w:tabs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tcBorders>
                                <w:top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E6E6E6"/>
                              <w:tc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snapToGrid w:val="0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Nr karty podatnika:</w:t>
                              </w:r>
                            </w:p>
                            <w:p w:rsidR="00D159F8" w:rsidRDefault="005F02F6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(adnotacje urzędowe)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shd w:val="clear" w:color="auto" w:fill="E6E6E6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i/>
                                  <w:sz w:val="16"/>
                                </w:rPr>
                              </w:pPr>
                            </w:p>
                            <w:p w:rsidR="00D159F8" w:rsidRDefault="00D159F8">
                              <w:pPr>
                                <w:pStyle w:val="Standard"/>
                                <w:tabs>
                                  <w:tab w:val="left" w:pos="1215"/>
                                  <w:tab w:val="left" w:pos="2270"/>
                                </w:tabs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D159F8" w:rsidRDefault="00CB6EDE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</w:r>
            <w:r w:rsidR="00CA2029">
              <w:pict>
                <v:shape id="Ramka2" o:spid="_x0000_s1026" type="#_x0000_t202" style="width:353.85pt;height: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stroked="f">
                  <v:textbox style="mso-next-textbox:#Ramka2;mso-rotate-with-shape:t" inset="0,0,0,0">
                    <w:txbxContent>
                      <w:tbl>
                        <w:tblPr>
                          <w:tblW w:w="6080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0"/>
                          <w:gridCol w:w="2420"/>
                        </w:tblGrid>
                        <w:tr w:rsidR="00D159F8" w:rsidTr="00CA2029">
                          <w:trPr>
                            <w:trHeight w:val="416"/>
                          </w:trPr>
                          <w:tc>
                            <w:tcPr>
                              <w:tcW w:w="3660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5F02F6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</w:p>
                          </w:tc>
                          <w:tc>
                            <w:tcPr>
                              <w:tcW w:w="24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1. na rok</w:t>
                              </w:r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159F8" w:rsidRDefault="00D159F8">
                              <w:pPr>
                                <w:pStyle w:val="Standard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:rsidR="00D159F8" w:rsidRDefault="005F02F6">
            <w:pPr>
              <w:pStyle w:val="Standard"/>
              <w:ind w:left="1260" w:hanging="1260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 nieposiadających osobowości prawnej będących właścicielami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nieposiadającymi osobowości prawnej.</w:t>
            </w:r>
          </w:p>
          <w:p w:rsidR="00D159F8" w:rsidRDefault="005F02F6">
            <w:pPr>
              <w:pStyle w:val="Standard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 na wysokość podatku.</w:t>
            </w:r>
          </w:p>
          <w:p w:rsidR="00D159F8" w:rsidRPr="006F532C" w:rsidRDefault="005F02F6">
            <w:pPr>
              <w:pStyle w:val="Standard"/>
              <w:rPr>
                <w:rFonts w:hint="eastAsia"/>
                <w:b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6F532C">
              <w:rPr>
                <w:b/>
                <w:sz w:val="16"/>
              </w:rPr>
              <w:t xml:space="preserve">WÓJT GMINY BĘDZINO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6F532C" w:rsidRDefault="006F532C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2. </w:t>
            </w:r>
            <w:r>
              <w:rPr>
                <w:bCs w:val="0"/>
                <w:sz w:val="20"/>
                <w:szCs w:val="20"/>
              </w:rPr>
              <w:t>WÓJT GMINY BĘDZINO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D159F8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</w:rPr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                     ** - dotyczy składającego deklarację będącego osobą fizyczną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(Dz.U.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działalności gospodarczej lub niebędących zarejestrowanymi podatnikami podatku od towarów i usług,</w:t>
            </w:r>
          </w:p>
          <w:p w:rsidR="00D159F8" w:rsidRDefault="005F02F6">
            <w:pPr>
              <w:pStyle w:val="Standard"/>
              <w:shd w:val="clear" w:color="auto" w:fill="E6E6E6"/>
              <w:spacing w:line="100" w:lineRule="atLeast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  <w:r>
              <w:rPr>
                <w:b/>
                <w:bCs/>
                <w:sz w:val="20"/>
              </w:rPr>
              <w:t>Uwaga</w:t>
            </w:r>
            <w:r>
              <w:rPr>
                <w:b/>
                <w:bCs/>
                <w:sz w:val="16"/>
                <w:szCs w:val="16"/>
              </w:rPr>
              <w:t>!</w:t>
            </w:r>
            <w:r>
              <w:rPr>
                <w:bCs/>
                <w:sz w:val="16"/>
                <w:szCs w:val="16"/>
              </w:rPr>
              <w:t xml:space="preserve">  W </w:t>
            </w:r>
            <w:r>
              <w:rPr>
                <w:sz w:val="16"/>
                <w:szCs w:val="16"/>
              </w:rPr>
              <w:t xml:space="preserve"> przypadku  współwłasności, współposiadania lub współużytkowania nieruchomości lub obiektu  budowlanego – należy dodatkowo  wypełnić  </w:t>
            </w:r>
            <w:r>
              <w:rPr>
                <w:b/>
                <w:sz w:val="16"/>
                <w:szCs w:val="16"/>
              </w:rPr>
              <w:t>załącznik ZN-1  (</w:t>
            </w:r>
            <w:r>
              <w:rPr>
                <w:sz w:val="16"/>
                <w:szCs w:val="16"/>
              </w:rPr>
              <w:t>Wykaz współwłaścicieli, współposiadaczy, współużytkowników)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</w:t>
            </w:r>
            <w:r w:rsidR="006F532C">
              <w:rPr>
                <w:sz w:val="16"/>
                <w:szCs w:val="16"/>
              </w:rPr>
              <w:t>acyjna w tym spółka nieposiadają</w:t>
            </w:r>
            <w:r>
              <w:rPr>
                <w:sz w:val="16"/>
                <w:szCs w:val="16"/>
              </w:rPr>
              <w:t>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9.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12.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15.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18.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21.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24.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D159F8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159F8" w:rsidRDefault="00D159F8">
      <w:pPr>
        <w:pStyle w:val="Textbody"/>
        <w:rPr>
          <w:rFonts w:hint="eastAsia"/>
        </w:rPr>
      </w:pPr>
    </w:p>
    <w:p w:rsidR="00D159F8" w:rsidRDefault="00D159F8">
      <w:pPr>
        <w:pStyle w:val="Textbody"/>
        <w:rPr>
          <w:rFonts w:hint="eastAsia"/>
        </w:rPr>
      </w:pPr>
    </w:p>
    <w:p w:rsidR="00D159F8" w:rsidRDefault="00D159F8">
      <w:pPr>
        <w:pStyle w:val="Textbody"/>
        <w:rPr>
          <w:rFonts w:hint="eastAsia"/>
        </w:rPr>
      </w:pPr>
    </w:p>
    <w:p w:rsidR="00D159F8" w:rsidRDefault="005F02F6">
      <w:pPr>
        <w:pStyle w:val="Textbody"/>
        <w:rPr>
          <w:rFonts w:hint="eastAsia"/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2693"/>
        <w:gridCol w:w="2693"/>
        <w:gridCol w:w="1858"/>
        <w:gridCol w:w="1443"/>
        <w:gridCol w:w="2185"/>
      </w:tblGrid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Stawka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D159F8" w:rsidTr="00D159F8"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t xml:space="preserve">D.1. POWIERZCHNIA GRUNTÓW    </w:t>
            </w:r>
          </w:p>
        </w:tc>
      </w:tr>
      <w:tr w:rsidR="00D159F8" w:rsidTr="00D159F8">
        <w:trPr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D159F8" w:rsidTr="00D159F8">
        <w:trPr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</w:t>
            </w:r>
            <w:r w:rsidR="006F532C">
              <w:rPr>
                <w:sz w:val="20"/>
              </w:rPr>
              <w:t>talizacji (Dz.U.  z 2015r.  poz. 1777</w:t>
            </w:r>
            <w:r>
              <w:rPr>
                <w:sz w:val="20"/>
              </w:rPr>
              <w:t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502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D.2. POWIERZCHNIA UŻYTKOWA BUDYNKÓW LUB ICH CZĘŚCI (*)</w:t>
            </w:r>
          </w:p>
          <w:p w:rsidR="00D159F8" w:rsidRDefault="005F02F6">
            <w:pPr>
              <w:pStyle w:val="Standard"/>
              <w:rPr>
                <w:rFonts w:hint="eastAsia"/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  <w:p w:rsidR="006F532C" w:rsidRDefault="006F532C">
            <w:pPr>
              <w:pStyle w:val="Standard"/>
              <w:rPr>
                <w:rFonts w:hint="eastAsia"/>
                <w:sz w:val="16"/>
              </w:rPr>
            </w:pPr>
          </w:p>
          <w:p w:rsidR="006F532C" w:rsidRDefault="006F532C">
            <w:pPr>
              <w:pStyle w:val="Standard"/>
              <w:rPr>
                <w:rFonts w:hint="eastAsia"/>
                <w:sz w:val="16"/>
              </w:rPr>
            </w:pPr>
          </w:p>
          <w:p w:rsidR="006F532C" w:rsidRDefault="006F532C">
            <w:pPr>
              <w:pStyle w:val="Standard"/>
              <w:rPr>
                <w:rFonts w:hint="eastAsia"/>
                <w:sz w:val="16"/>
              </w:rPr>
            </w:pPr>
          </w:p>
          <w:p w:rsidR="006F532C" w:rsidRDefault="006F532C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740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1. mieszkalnych  w tym: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spacing w:line="48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</w:tr>
      <w:tr w:rsidR="00D159F8" w:rsidTr="00D159F8">
        <w:trPr>
          <w:trHeight w:val="743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  </w:t>
            </w:r>
          </w:p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 powierzchni</w:t>
            </w:r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74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75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 kondygnacji o wysokości od 1,40 do 2,20 m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zaliczyć 50% powierzchni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739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39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</w:t>
            </w:r>
          </w:p>
        </w:tc>
      </w:tr>
      <w:tr w:rsidR="00D159F8" w:rsidTr="00D159F8">
        <w:trPr>
          <w:trHeight w:val="85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vertAlign w:val="superscript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674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ind w:left="214" w:hanging="214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 do 2,20 m </w:t>
            </w:r>
            <w:r>
              <w:rPr>
                <w:sz w:val="16"/>
              </w:rPr>
              <w:br/>
              <w:t>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 xml:space="preserve">)         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...........................</w:t>
            </w:r>
            <w:r>
              <w:rPr>
                <w:sz w:val="20"/>
                <w:szCs w:val="16"/>
              </w:rPr>
              <w:t>m</w:t>
            </w:r>
            <w:r>
              <w:rPr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D159F8" w:rsidTr="00D159F8">
        <w:trPr>
          <w:trHeight w:val="626"/>
        </w:trPr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:rsidR="00D159F8" w:rsidRDefault="00D159F8">
            <w:pPr>
              <w:pStyle w:val="Standard"/>
              <w:ind w:left="214"/>
              <w:rPr>
                <w:rFonts w:hint="eastAsia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>- kondygnacji o wysokości powyżej 2,20 m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  <w:tr w:rsidR="00D159F8" w:rsidTr="00D159F8">
        <w:trPr>
          <w:trHeight w:val="900"/>
        </w:trPr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</w:rPr>
              <w:t xml:space="preserve">   - kondygnacji o wysokości od 1,40</w:t>
            </w:r>
            <w:r>
              <w:rPr>
                <w:sz w:val="16"/>
              </w:rPr>
              <w:br/>
              <w:t xml:space="preserve">     do 2,20 m </w:t>
            </w:r>
            <w:r>
              <w:rPr>
                <w:sz w:val="16"/>
              </w:rPr>
              <w:br/>
              <w:t xml:space="preserve">     (</w:t>
            </w:r>
            <w:r>
              <w:rPr>
                <w:b/>
                <w:bCs/>
                <w:sz w:val="16"/>
              </w:rPr>
              <w:t>zaliczyć 50% powierzchni</w:t>
            </w:r>
            <w:r>
              <w:rPr>
                <w:sz w:val="16"/>
              </w:rPr>
              <w:t>)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>…........................m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</w:t>
            </w:r>
          </w:p>
        </w:tc>
      </w:tr>
      <w:tr w:rsidR="00D159F8" w:rsidTr="00D159F8">
        <w:trPr>
          <w:trHeight w:val="378"/>
        </w:trPr>
        <w:tc>
          <w:tcPr>
            <w:tcW w:w="11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lastRenderedPageBreak/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D159F8" w:rsidTr="00D159F8">
        <w:trPr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:rsidR="00D159F8" w:rsidRDefault="005F02F6">
            <w:pPr>
              <w:pStyle w:val="Standard"/>
              <w:ind w:left="214" w:hanging="214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:rsidR="00D159F8" w:rsidRDefault="005F02F6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:rsidR="00D159F8" w:rsidRDefault="005F02F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D159F8" w:rsidTr="00D159F8">
        <w:trPr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870"/>
      </w:tblGrid>
      <w:tr w:rsidR="00D159F8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D159F8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Do niniejszej deklaracji dołączono (zaznacz właściwy kwadrat) :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DN-1/A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DN-1/C</w:t>
            </w:r>
          </w:p>
          <w:p w:rsidR="00D159F8" w:rsidRDefault="005F02F6">
            <w:pPr>
              <w:pStyle w:val="Standard"/>
              <w:tabs>
                <w:tab w:val="left" w:pos="6105"/>
              </w:tabs>
              <w:snapToGrid w:val="0"/>
              <w:rPr>
                <w:rFonts w:hint="eastAsia"/>
              </w:rPr>
            </w:pP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Załącznik DN-1/B                    </w:t>
            </w:r>
            <w:r>
              <w:rPr>
                <w:rFonts w:ascii="Wingdings" w:hAnsi="Wingdings"/>
                <w:sz w:val="22"/>
                <w:szCs w:val="22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/>
                <w:sz w:val="20"/>
                <w:szCs w:val="20"/>
              </w:rPr>
              <w:t>Załącznik DN-1/Z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D159F8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159F8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  <w:tr w:rsidR="00D159F8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</w:p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D159F8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  <w:p w:rsidR="00D159F8" w:rsidRDefault="00D159F8">
            <w:pPr>
              <w:pStyle w:val="Standard"/>
              <w:rPr>
                <w:rFonts w:hint="eastAsia"/>
              </w:rPr>
            </w:pPr>
          </w:p>
        </w:tc>
      </w:tr>
      <w:tr w:rsidR="00D159F8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D159F8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ind w:left="214" w:hanging="214"/>
              <w:rPr>
                <w:rFonts w:hint="eastAsia"/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ind w:left="214" w:hanging="214"/>
              <w:rPr>
                <w:rFonts w:hint="eastAsia"/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</w:tr>
    </w:tbl>
    <w:p w:rsidR="00D159F8" w:rsidRDefault="00D159F8">
      <w:pPr>
        <w:pStyle w:val="Standard"/>
        <w:rPr>
          <w:rFonts w:hint="eastAsia"/>
          <w:b/>
          <w:sz w:val="22"/>
          <w:szCs w:val="22"/>
        </w:rPr>
      </w:pPr>
    </w:p>
    <w:p w:rsidR="00D159F8" w:rsidRDefault="005F02F6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D159F8" w:rsidRDefault="005F02F6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</w:t>
      </w:r>
      <w:r w:rsidR="006F532C">
        <w:rPr>
          <w:sz w:val="20"/>
          <w:szCs w:val="20"/>
        </w:rPr>
        <w:t>na wskazany</w:t>
      </w:r>
      <w:r>
        <w:rPr>
          <w:b/>
          <w:bCs/>
          <w:sz w:val="20"/>
          <w:szCs w:val="20"/>
        </w:rPr>
        <w:t xml:space="preserve"> 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:rsidR="00D159F8" w:rsidRDefault="005F02F6">
      <w:pPr>
        <w:pStyle w:val="Standard"/>
        <w:tabs>
          <w:tab w:val="left" w:pos="58"/>
        </w:tabs>
        <w:ind w:left="170" w:hanging="170"/>
        <w:rPr>
          <w:rFonts w:hint="eastAsia"/>
        </w:rPr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:rsidR="00D159F8" w:rsidRDefault="005F02F6">
      <w:pPr>
        <w:pStyle w:val="Standard"/>
        <w:ind w:left="168" w:hanging="179"/>
        <w:rPr>
          <w:rFonts w:hint="eastAsia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:rsidR="00D159F8" w:rsidRDefault="005F02F6">
      <w:pPr>
        <w:pStyle w:val="Standard"/>
        <w:ind w:left="-11"/>
        <w:rPr>
          <w:rFonts w:hint="eastAsia"/>
        </w:rPr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</w:t>
      </w:r>
      <w:r w:rsidR="006F532C">
        <w:rPr>
          <w:sz w:val="20"/>
          <w:szCs w:val="20"/>
        </w:rPr>
        <w:t xml:space="preserve">towej Urzędu </w:t>
      </w:r>
      <w:r w:rsidR="006F532C">
        <w:rPr>
          <w:rFonts w:hint="eastAsia"/>
          <w:sz w:val="20"/>
          <w:szCs w:val="20"/>
        </w:rPr>
        <w:t>Gminy</w:t>
      </w:r>
      <w:r w:rsidR="006F532C">
        <w:rPr>
          <w:sz w:val="20"/>
          <w:szCs w:val="20"/>
        </w:rPr>
        <w:t xml:space="preserve"> w  Będzinie</w:t>
      </w:r>
      <w:r w:rsidR="00860E0F">
        <w:rPr>
          <w:sz w:val="20"/>
          <w:szCs w:val="20"/>
        </w:rPr>
        <w:t>.</w:t>
      </w:r>
    </w:p>
    <w:p w:rsidR="00D159F8" w:rsidRDefault="00D159F8">
      <w:pPr>
        <w:pStyle w:val="Standard"/>
        <w:ind w:left="280" w:hanging="291"/>
        <w:rPr>
          <w:rFonts w:hint="eastAsia"/>
          <w:sz w:val="20"/>
          <w:szCs w:val="20"/>
        </w:rPr>
      </w:pPr>
    </w:p>
    <w:sectPr w:rsidR="00D159F8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DE" w:rsidRDefault="00CB6EDE" w:rsidP="00D159F8">
      <w:pPr>
        <w:rPr>
          <w:rFonts w:hint="eastAsia"/>
        </w:rPr>
      </w:pPr>
      <w:r>
        <w:separator/>
      </w:r>
    </w:p>
  </w:endnote>
  <w:endnote w:type="continuationSeparator" w:id="0">
    <w:p w:rsidR="00CB6EDE" w:rsidRDefault="00CB6EDE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DE" w:rsidRDefault="00CB6EDE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CB6EDE" w:rsidRDefault="00CB6EDE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59F8"/>
    <w:rsid w:val="00165668"/>
    <w:rsid w:val="002814BE"/>
    <w:rsid w:val="00567677"/>
    <w:rsid w:val="005F02F6"/>
    <w:rsid w:val="00662483"/>
    <w:rsid w:val="006F532C"/>
    <w:rsid w:val="00860E0F"/>
    <w:rsid w:val="00A71621"/>
    <w:rsid w:val="00B83763"/>
    <w:rsid w:val="00BC02B4"/>
    <w:rsid w:val="00C6531F"/>
    <w:rsid w:val="00CA2029"/>
    <w:rsid w:val="00CB6EDE"/>
    <w:rsid w:val="00D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CD5806-85BC-4858-BA38-3DDAFE50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13</cp:revision>
  <cp:lastPrinted>2015-11-30T06:49:00Z</cp:lastPrinted>
  <dcterms:created xsi:type="dcterms:W3CDTF">2015-10-23T11:29:00Z</dcterms:created>
  <dcterms:modified xsi:type="dcterms:W3CDTF">2015-11-30T08:03:00Z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